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ROSAC0209ZPB</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Racâș - Hida</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2129685216"/>
          <w:tag w:val="goog_rdk_0"/>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86296876"/>
          <w:tag w:val="goog_rdk_1"/>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55214992"/>
          <w:tag w:val="goog_rdk_2"/>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p>
    <w:tbl>
      <w:tblPr>
        <w:tblStyle w:val="Table1"/>
        <w:tblW w:w="8980.0" w:type="dxa"/>
        <w:jc w:val="left"/>
        <w:tblInd w:w="-98.0" w:type="dxa"/>
        <w:tblLayout w:type="fixed"/>
        <w:tblLook w:val="0400"/>
      </w:tblPr>
      <w:tblGrid>
        <w:gridCol w:w="4491"/>
        <w:gridCol w:w="4489"/>
      </w:tblGrid>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p>
        </w:tc>
      </w:tr>
      <w:tr>
        <w:trPr>
          <w:cantSplit w:val="0"/>
          <w:tblHeader w:val="0"/>
        </w:trPr>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p>
    <w:p w:rsidR="00000000" w:rsidDel="00000000" w:rsidP="00000000" w:rsidRDefault="00000000" w:rsidRPr="00000000" w14:paraId="0000002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p>
    <w:tbl>
      <w:tblPr>
        <w:tblStyle w:val="Table4"/>
        <w:tblW w:w="8980.0" w:type="dxa"/>
        <w:jc w:val="left"/>
        <w:tblInd w:w="-98.0" w:type="dxa"/>
        <w:tblLayout w:type="fixed"/>
        <w:tblLook w:val="0400"/>
      </w:tblPr>
      <w:tblGrid>
        <w:gridCol w:w="4454"/>
        <w:gridCol w:w="4526"/>
      </w:tblGrid>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p>
        </w:tc>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p>
    <w:p w:rsidR="00000000" w:rsidDel="00000000" w:rsidP="00000000" w:rsidRDefault="00000000" w:rsidRPr="00000000" w14:paraId="0000003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p>
    <w:p w:rsidR="00000000" w:rsidDel="00000000" w:rsidP="00000000" w:rsidRDefault="00000000" w:rsidRPr="00000000" w14:paraId="0000004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10,84</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protejate/OECM</w:t>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4,52%</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p>
    <w:tbl>
      <w:tblPr>
        <w:tblStyle w:val="Table6"/>
        <w:tblW w:w="8980.0" w:type="dxa"/>
        <w:jc w:val="left"/>
        <w:tblInd w:w="-98.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RO11</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Nord-Vest</w:t>
            </w:r>
          </w:p>
        </w:tc>
      </w:tr>
    </w:tb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6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Sălaj</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p>
    <w:tbl>
      <w:tblPr>
        <w:tblStyle w:val="Table7"/>
        <w:tblW w:w="8980.0" w:type="dxa"/>
        <w:jc w:val="left"/>
        <w:tblInd w:w="-98.0" w:type="dxa"/>
        <w:tblLayout w:type="fixed"/>
        <w:tblLook w:val="0400"/>
      </w:tblPr>
      <w:tblGrid>
        <w:gridCol w:w="2803"/>
        <w:gridCol w:w="236"/>
        <w:gridCol w:w="2874"/>
        <w:gridCol w:w="236"/>
        <w:gridCol w:w="2831"/>
      </w:tblGrid>
      <w:tr>
        <w:trPr>
          <w:cantSplit w:val="0"/>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737555264"/>
                <w:tag w:val="goog_rdk_3"/>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362768069"/>
                <w:tag w:val="goog_rdk_4"/>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100%</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3177219"/>
                <w:tag w:val="goog_rdk_5"/>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794299760"/>
                <w:tag w:val="goog_rdk_6"/>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360191621"/>
                <w:tag w:val="goog_rdk_7"/>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802737680"/>
                <w:tag w:val="goog_rdk_8"/>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p>
    <w:p w:rsidR="00000000" w:rsidDel="00000000" w:rsidP="00000000" w:rsidRDefault="00000000" w:rsidRPr="00000000" w14:paraId="0000005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p>
    <w:p w:rsidR="00000000" w:rsidDel="00000000" w:rsidP="00000000" w:rsidRDefault="00000000" w:rsidRPr="00000000" w14:paraId="0000005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3,64</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Decizia Comitetului Executiv al Consiliului Popular Județean Sălaj nr. 259/1975: Poiana cu narcise de la Racâș – Hida;</w:t>
      </w:r>
    </w:p>
    <w:p w:rsidR="00000000" w:rsidDel="00000000" w:rsidP="00000000" w:rsidRDefault="00000000" w:rsidRPr="00000000" w14:paraId="00000064">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RONPA0701 Poiana cu narcise de la Racâș – Hida;</w:t>
      </w:r>
    </w:p>
    <w:p w:rsidR="00000000" w:rsidDel="00000000" w:rsidP="00000000" w:rsidRDefault="00000000" w:rsidRPr="00000000" w14:paraId="00000065">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1972/2015 privind aprobarea Planului de management al sitului de importanță comunitară ROSCI0209 Racâș - Hida și al ariei naturale protejate de interes național 2.684 . Poiana cu narcise de la Racâș - Hida</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8"/>
        <w:tblW w:w="8964.0" w:type="dxa"/>
        <w:jc w:val="left"/>
        <w:tblInd w:w="-97.00000000000001"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 de pajiște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4097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Iris aphylla subsp. hungarica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Narcissus poeticus var. stellaris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Hepatica transsilvanica</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Aconitum lycoctonum ssp. Moldavicum</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Lathyrus transsilvanicus</w:t>
            </w:r>
          </w:p>
        </w:tc>
      </w:tr>
      <w:tr>
        <w:trPr>
          <w:cantSplit w:val="0"/>
          <w:trHeight w:val="334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Aria desemnată ca ZPB reprezintă un ecosistem de pajiște cu valoare conservativă ridicată, recunoscut la nivel regional prin prezența unor populații importante de specii floristice de interes conservativ și prin caracterul său semi-natural, menținut în contextul unui peisaj tradițional cu intervenții antropice reduse.</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 a zonei este susținută de prezența unor specii rare și vulnerabile asociate pajiștilor și ecosistemelor deschise, inclusiv populații semnificative de narcisă de munte și alte specii floristice cu distribuție restrânsă sau importanță conservativă ridicată. Diversitatea floristică și condițiile ecologice locale contribuie la menținerea unui habitat favorabil speciilor caracteristice pajiștilor semi-naturale.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Importanța conservativă a zonei este susținută și de statutul de rezervație naturală floristică, relevant pentru protecția speciilor și a valorilor naturale asociate. Desemnarea ca ZPB se fundamentează pe prezența speciilor de interes conservativ și pe valoarea ecologică ridicată a ecosistemului de pajiște semi-naturală.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A04 Păşunatul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specifice:</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Măsuri de conservare:</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Se evită atât suprapășunatul, cât și subpășunatul, precum și concentrarea excesivă a animalelor în zone sensibile ale habitatului.</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Târlitul se realizează controlat și cu schimbarea periodică a amplasamentelor, evitându-se apariția suprafețelor nitrofile și degradarea habitatului.</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Vegetația lemnoasă invadantă se îndepărtează selectiv și periodic, menținându-se elementele cu rol ecologic, antierozional sau de refugiu pentru specii.</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Speciile invazive se monitorizează și se controlează prin metode mecanice și măsuri cu impact redus asupra habitatelor naturale.</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Se mențin structurile de habitat favorabile biodiversității, inclusiv tufărișurile dispersate, arborii izolați, gardurile vii și zonele de ecoton.</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Activitățile turistice și recreative se desfășoară fără afectarea habitatelor și a speciilor de interes conservativ.</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3.2.2. Zona Prioritară pentru Biodiversitate nr. 2</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3.2.2.1. Cod Zona Prioritară pentru Biodiversitate nr. 2</w:t>
      </w:r>
    </w:p>
    <w:p w:rsidR="00000000" w:rsidDel="00000000" w:rsidP="00000000" w:rsidRDefault="00000000" w:rsidRPr="00000000" w14:paraId="0000009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3.2.2.2.  Detalii privind Zona Prioritară pentru Biodiversitate nr. 2</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A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7,20</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A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dctnkc3pwtgh"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1972/2015 privind aprobarea Planului de management al sitului de importanță comunitară ROSCI0209 Racâș - Hida și al ariei naturale protejate de interes național 2.684 . Poiana cu narcise de la Racâș - Hida</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9"/>
        <w:tblW w:w="8964.0" w:type="dxa"/>
        <w:jc w:val="left"/>
        <w:tblInd w:w="-97.00000000000001" w:type="dxa"/>
        <w:tblLayout w:type="fixed"/>
        <w:tblLook w:val="0400"/>
      </w:tblPr>
      <w:tblGrid>
        <w:gridCol w:w="4483"/>
        <w:gridCol w:w="448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91M0 Păduri balcano-panonice de cer și gorun:</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Ecosisteme de tufărișuri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variegata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4097 Iris aphylla subsp. hungarica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B3">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B4">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B5">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B6">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A04 Păşunatul</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B02 Gestionarea si utilizarea padurii si plantatiei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0DA">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DC">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E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E4">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E5">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p>
    <w:p w:rsidR="00000000" w:rsidDel="00000000" w:rsidP="00000000" w:rsidRDefault="00000000" w:rsidRPr="00000000" w14:paraId="000000F2">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Drăgulescu C., 1978, Originea şi corologia speciei Narcissus poeticus L. s.l., St. Com., Muz. Şt. Nat. Brukenthal, Sibiu: 105-128</w:t>
      </w:r>
    </w:p>
    <w:p w:rsidR="00000000" w:rsidDel="00000000" w:rsidP="00000000" w:rsidRDefault="00000000" w:rsidRPr="00000000" w14:paraId="000000F3">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545. Drăgulescu C., 1981, Ecologia, corologia şi cenologia populaţiilor de Narcissus poeticus L. ssp. stellaris (Haw.) Dos în Carpaţi, Ocr. nat. med. înconj., 25, 1: 49-55 + o hartă + 2 foto</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 Zonelor Prioritare pentru Biodiversitate</w:t>
      </w:r>
    </w:p>
    <w:p w:rsidR="00000000" w:rsidDel="00000000" w:rsidP="00000000" w:rsidRDefault="00000000" w:rsidRPr="00000000" w14:paraId="000000F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240" w:before="24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iunie 2025 – online, jud. Sălaj. Ulterior, în cadrul procesului de consultare extins la nivel național, a avut loc consultări suplimentare online, în data de 30 ianuarie 20206, cu participarea factorilor interesați relevanți din județul sălaj, iar în data de 12 februarie 2026 au avut loc consultări publice la Prefectura Sălaj.</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 Link: </w:t>
      </w:r>
      <w:hyperlink r:id="rId7">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y6n0ZszZJZab+sqc4q9EppL+Y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ZGN0bmtjM3B3dGdoOAByITFybDZtWTAxZ0JFZjVwUTdFM2VfcUVDNUZpWFBobjRZ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